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459A" w:rsidTr="00AF459A">
        <w:tc>
          <w:tcPr>
            <w:tcW w:w="4785" w:type="dxa"/>
          </w:tcPr>
          <w:p w:rsidR="00AF459A" w:rsidRPr="0064111E" w:rsidRDefault="00A247A5" w:rsidP="00AA0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-974821</wp:posOffset>
                  </wp:positionH>
                  <wp:positionV relativeFrom="paragraph">
                    <wp:posOffset>-599320</wp:posOffset>
                  </wp:positionV>
                  <wp:extent cx="7356535" cy="10121334"/>
                  <wp:effectExtent l="19050" t="0" r="0" b="0"/>
                  <wp:wrapNone/>
                  <wp:docPr id="1" name="Рисунок 1" descr="C:\Users\AdmiN\Desktop\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762" cy="1012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459A" w:rsidRPr="0064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  <w:r w:rsidR="00AF459A" w:rsidRPr="0064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F459A" w:rsidRPr="0064111E" w:rsidRDefault="00AF459A" w:rsidP="00AA0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протокол №___</w:t>
            </w: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 «____»_________20___   года     </w:t>
            </w:r>
          </w:p>
          <w:p w:rsidR="00AF459A" w:rsidRDefault="00AF459A" w:rsidP="00AA0BF0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459A" w:rsidRPr="0064111E" w:rsidRDefault="00AF459A" w:rsidP="005435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F459A" w:rsidRPr="0064111E" w:rsidRDefault="00AF459A" w:rsidP="00AA0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ОГА ПОУ «Вейделевский агротехнологический техникум имени Грязнова В.М.»</w:t>
            </w:r>
          </w:p>
          <w:p w:rsidR="00AF459A" w:rsidRPr="0064111E" w:rsidRDefault="00AF459A" w:rsidP="00AA0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С.А. Свиридова</w:t>
            </w:r>
          </w:p>
          <w:p w:rsidR="00AF459A" w:rsidRPr="0064111E" w:rsidRDefault="00AF459A" w:rsidP="00AA0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«__»________20__   года</w:t>
            </w:r>
          </w:p>
          <w:p w:rsidR="00AF459A" w:rsidRDefault="00AF459A" w:rsidP="00AA0BF0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59A" w:rsidRDefault="00AF459A" w:rsidP="00AF459A">
      <w:pPr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59A" w:rsidRDefault="00CC4371" w:rsidP="00AF459A">
      <w:pPr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C4371" w:rsidRDefault="00CC4371" w:rsidP="00AF459A">
      <w:pPr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форме проведения итоговой аттестации по не имеющим государственной аккредитации образовательным программам</w:t>
      </w:r>
    </w:p>
    <w:p w:rsidR="00AF459A" w:rsidRPr="00CC4371" w:rsidRDefault="00AF459A" w:rsidP="00AF459A">
      <w:pPr>
        <w:spacing w:before="125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требования к порядку и форме проведения итоговой аттестации по не имеющим государственной аккредитации образо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 в ОГА ПОУ «Вейделевский агротехнологический техникум имени Грязнова В.М. » (далее – Техникум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и форме проведения итоговой аттестации по не имеющим государственной аккредитации программам разработано в соответствии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371" w:rsidRPr="00CC4371" w:rsidRDefault="00CC4371" w:rsidP="00CC43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CC4371" w:rsidRPr="00CC4371" w:rsidRDefault="00CC4371" w:rsidP="00CC43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C4371" w:rsidRPr="00CC4371" w:rsidRDefault="00CC4371" w:rsidP="00CC43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16.08.2013 № 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и форме проведения итоговой аттестации по не имеющим государственной аккредитации программам (далее - Положение) регламентирует проведение итоговой аттестации по образовательным программам, не имеющим государственной аккредитации, и определяет формы итоговой аттестации по указанным образовательным программам.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итоговой аттестации является определение соответствия результатов освоения обучающимися основной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по конкретному направ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подготовки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или индивидуальный учебный план по соответствующим образовательным программам.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Государственная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Государственная 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 допускается взимание платы с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итоговой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Лицам, успешно прошедшим итоговую аттестацию, выдается документ об образовании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обучавшиеся по не имеющей государственной аккредитации образовательной программе,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образования.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образовательной программе.</w:t>
      </w: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экзаменационная комиссия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образовательной организацией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образовательной программе среднего профессионального об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реализуемой в техникуме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Государственная экзаменационная комиссия формируется из пе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работников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(Ворлдскиллс Россия)» (далее - союз).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Итоговая аттестация (ИА) проводится экзаменационными комиссиями (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создаваемыми по каждой не аккредитованной основной профессиональной образовательной п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рограмме, реализуемой в техникуме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Итоговые экзаменационные комиссии руководствуются в своей деятельности настоящим Порядком и учебно-методической документа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разрабатываемой в техникуме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ФГОС по конкретным направле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подготовки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проведения итоговой аттестации создаются итоговые экзаменационные комиссии по каждой образовательной программе или направлению подготовки, которые состоят из председателя, секретаря, членов комиссии. Комиссии действуют в течение календарного года.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Состав комиссии, в числе не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пяти человек, утвержд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proofErr w:type="gramEnd"/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техникум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CC4371" w:rsidRPr="00AF459A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Председатель государственной экзаменационной комиссии утверждается не позднее 20 декабря текущего года на следующий календарный</w:t>
      </w:r>
      <w:r w:rsidR="00AF459A" w:rsidRPr="00AF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1 января по 31 декабря)</w:t>
      </w:r>
      <w:r w:rsidRPr="00AF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государственной э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кзаменационной комиссии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лицо, не работающее в техникуме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DA32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государственной экзаменационной комиссии.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государственной итоговой аттестации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</w:t>
      </w:r>
      <w:r w:rsidR="006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экзаменационной  работы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государственный (</w:t>
      </w: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экзамен (</w:t>
      </w: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виде демонстрационного экзамена.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экзаменационная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выпускная квалификационная работа выполняется в следующих видах:</w:t>
      </w:r>
    </w:p>
    <w:p w:rsidR="00CC4371" w:rsidRPr="00CC4371" w:rsidRDefault="00CC4371" w:rsidP="00CC43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CC4371" w:rsidRPr="00CC4371" w:rsidRDefault="00CC4371" w:rsidP="00CC43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Темы выпускных квалификацион</w:t>
      </w:r>
      <w:r w:rsidR="006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определяются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выпускной квалификационной работы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за обучающимся тем выпускных квалификационных работ, назначение руководителей и консультантов осуществля</w:t>
      </w:r>
      <w:r w:rsidR="006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приказом директора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после их обсуждения на заседании</w:t>
      </w:r>
      <w:r w:rsidR="006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председателей государственных экзаменационных комиссий.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Результаты победителей и призеров чемпионатов профессионального мастерства, проводимых союзом либо международной организацией «WorldSkills </w:t>
      </w: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государственной итоговой аттестации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Программа государственной итоговой аттестации, требования к выпускным квалификационным работам, а также критерии оценк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знаний, утвержденные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доводятся до сведения обучающихся, не позднее, чем за шесть месяцев до начала государственной итоговой аттестации.</w:t>
      </w:r>
    </w:p>
    <w:p w:rsidR="00CC4371" w:rsidRPr="00CC4371" w:rsidRDefault="00704EA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Техникум</w:t>
      </w:r>
      <w:r w:rsidR="00CC4371"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восстанавливается в техникуме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установленный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прохождение государственной итоговой аттестации для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лица назначается</w:t>
      </w:r>
      <w:proofErr w:type="gramEnd"/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двух раз.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хранится в архиве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CC4371" w:rsidRPr="00CC4371" w:rsidRDefault="00CC4371" w:rsidP="00CC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CC4371" w:rsidRPr="00CC4371" w:rsidRDefault="00CC4371" w:rsidP="00CC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CC4371" w:rsidRPr="00CC4371" w:rsidRDefault="00CC4371" w:rsidP="00CC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CC4371" w:rsidRPr="00CC4371" w:rsidRDefault="00CC4371" w:rsidP="00CC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CC4371" w:rsidRPr="00CC4371" w:rsidRDefault="00CC4371" w:rsidP="00CC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C4371" w:rsidRPr="00CC4371" w:rsidRDefault="00CC4371" w:rsidP="00CC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CC4371" w:rsidRPr="00CC4371" w:rsidRDefault="00CC4371" w:rsidP="00CC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CC4371" w:rsidRPr="00CC4371" w:rsidRDefault="00CC4371" w:rsidP="00CC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CC4371" w:rsidRPr="00CC4371" w:rsidRDefault="00CC4371" w:rsidP="00CC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CC4371" w:rsidRPr="00CC4371" w:rsidRDefault="00CC4371" w:rsidP="00CC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p w:rsidR="00CC4371" w:rsidRPr="00CC4371" w:rsidRDefault="00CC4371" w:rsidP="00CC437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C4371" w:rsidRPr="00CC4371" w:rsidRDefault="00CC4371" w:rsidP="00CC437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желанию государственный экзамен может проводиться в письменной форме;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C4371" w:rsidRPr="00CC4371" w:rsidRDefault="00CC4371" w:rsidP="00CC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CC4371" w:rsidRPr="00CC4371" w:rsidRDefault="00CC4371" w:rsidP="00CC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желанию государственный экзамен может проводиться в устной форме.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C4371" w:rsidRPr="00CC4371" w:rsidRDefault="00CC4371" w:rsidP="00CC4371">
      <w:pPr>
        <w:spacing w:before="63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подачи и рассмотрения апелляций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Апелляция подается лично выпускником или родителями (законными представителями) несовершеннолетнего выпускника в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апелляционную комиссию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Апелляция рассматривается апелляционной комиссией не позднее трех рабочих дней с момента ее поступления.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Состав апелляционной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состава государственной экзаменационной комиссии.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состоит из председателя, не менее пяти членов из числа педагогических работнико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входящих в данном учебном году в состав государственных экзаменационных комиссий и секретаря. Председателем апелляционной ком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является директор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лицо, исполняющее в установленном порядк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обязанности директора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избирается из числа членов апелляционной комиссии.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Апелляция рассматривается на заседании апелляционной комиссии с участием не менее двух третей ее состава.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Рассмотрение апелляции не является пересдачей государственной итоговой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CC4371" w:rsidRPr="00CC4371" w:rsidRDefault="00CC4371" w:rsidP="00CC43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CC4371" w:rsidRPr="00CC4371" w:rsidRDefault="00CC4371" w:rsidP="00CC43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апелляции, если изложенные в ней сведения о допущенных нарушениях порядка проведения государственной итоговой 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выпускника подтвердились и повлияли на результат государственной итоговой аттестации.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сроки, установленные техникумом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6.13. Решение апелляционной комиссии является окончательным и пересмотру не подлежит.</w:t>
      </w:r>
    </w:p>
    <w:p w:rsidR="00CC4371" w:rsidRPr="00CC4371" w:rsidRDefault="00CC4371" w:rsidP="00CC43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Решение апелляционной комиссии оформляется протоколом, который подписывается председателем и секретарем апелляционной комис</w:t>
      </w:r>
      <w:r w:rsidR="0070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хранится в архиве техникума</w:t>
      </w:r>
      <w:r w:rsidRPr="00CC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BC" w:rsidRDefault="005545BC"/>
    <w:sectPr w:rsidR="005545BC" w:rsidSect="0055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B00"/>
    <w:multiLevelType w:val="multilevel"/>
    <w:tmpl w:val="8E7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77E20"/>
    <w:multiLevelType w:val="multilevel"/>
    <w:tmpl w:val="B79C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A57DA"/>
    <w:multiLevelType w:val="multilevel"/>
    <w:tmpl w:val="2BE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F1852"/>
    <w:multiLevelType w:val="multilevel"/>
    <w:tmpl w:val="8E4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15F3E"/>
    <w:multiLevelType w:val="multilevel"/>
    <w:tmpl w:val="207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347B7"/>
    <w:multiLevelType w:val="multilevel"/>
    <w:tmpl w:val="0AD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204D5"/>
    <w:multiLevelType w:val="multilevel"/>
    <w:tmpl w:val="03CE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50221"/>
    <w:multiLevelType w:val="multilevel"/>
    <w:tmpl w:val="BB5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371"/>
    <w:rsid w:val="004F788E"/>
    <w:rsid w:val="00543549"/>
    <w:rsid w:val="005545BC"/>
    <w:rsid w:val="006F6A3E"/>
    <w:rsid w:val="00704EA1"/>
    <w:rsid w:val="00A247A5"/>
    <w:rsid w:val="00AF459A"/>
    <w:rsid w:val="00C919F9"/>
    <w:rsid w:val="00CC4371"/>
    <w:rsid w:val="00D04AF6"/>
    <w:rsid w:val="00D338A7"/>
    <w:rsid w:val="00DA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7"/>
  </w:style>
  <w:style w:type="paragraph" w:styleId="2">
    <w:name w:val="heading 2"/>
    <w:basedOn w:val="a"/>
    <w:link w:val="20"/>
    <w:uiPriority w:val="9"/>
    <w:qFormat/>
    <w:rsid w:val="00CC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4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8A7"/>
    <w:rPr>
      <w:b/>
      <w:bCs/>
    </w:rPr>
  </w:style>
  <w:style w:type="paragraph" w:styleId="a4">
    <w:name w:val="No Spacing"/>
    <w:uiPriority w:val="1"/>
    <w:qFormat/>
    <w:rsid w:val="00D338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3367</Words>
  <Characters>19198</Characters>
  <Application>Microsoft Office Word</Application>
  <DocSecurity>0</DocSecurity>
  <Lines>159</Lines>
  <Paragraphs>45</Paragraphs>
  <ScaleCrop>false</ScaleCrop>
  <Company>SPecialiST RePack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2020-11-30T06:13:00Z</cp:lastPrinted>
  <dcterms:created xsi:type="dcterms:W3CDTF">2020-11-24T15:25:00Z</dcterms:created>
  <dcterms:modified xsi:type="dcterms:W3CDTF">2020-11-30T06:46:00Z</dcterms:modified>
</cp:coreProperties>
</file>